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704" w:rsidRPr="009B1ADD" w:rsidRDefault="00A46704" w:rsidP="00A46704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B1AD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>18.2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ที่ไม่ยอมรับหรือให้โอกาสผู้ต้องขังในคดียาเสพติดที่พ้นโทษออกมากลับเข้าสู่ชุมชน/หมู่บ้าน  </w:t>
      </w:r>
      <w:r w:rsidRPr="009B1ADD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ความคิดเห็นเกี่ยวกับเหตุผลที่ไม่ยอมรับหรือให้โอกาสฯ  </w:t>
      </w:r>
      <w:r w:rsidRPr="009B1AD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B1AD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A46704" w:rsidRPr="006133E8" w:rsidTr="00087504">
        <w:trPr>
          <w:trHeight w:val="456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46704" w:rsidRPr="006133E8" w:rsidTr="00087504">
        <w:trPr>
          <w:trHeight w:val="39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A46704" w:rsidRPr="006133E8" w:rsidTr="00087504">
        <w:trPr>
          <w:trHeight w:val="9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60" w:after="6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before="60" w:after="6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A46704" w:rsidRPr="006133E8" w:rsidRDefault="00A46704" w:rsidP="00A46704">
      <w:pPr>
        <w:spacing w:before="120"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:rsidR="00A46704" w:rsidRDefault="00A46704" w:rsidP="00A46704">
      <w:pPr>
        <w:spacing w:after="120" w:line="240" w:lineRule="auto"/>
        <w:ind w:left="1134" w:right="247" w:hanging="1134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A46704" w:rsidRPr="009B1ADD" w:rsidRDefault="00A46704" w:rsidP="00A46704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B1A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>18.2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ที่ไม่ยอมรับหรือให้โอกาสผู้ต้องขังในคดียาเสพติดที่พ้นโทษออกมากลับเข้าสู่ชุมชน/หมู่บ้าน  </w:t>
      </w:r>
      <w:r w:rsidRPr="009B1ADD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ความคิดเห็นเกี่ยวกับเหตุผลที่ไม่ยอมรับหรือให้โอกาสฯ  </w:t>
      </w:r>
      <w:r w:rsidRPr="009B1AD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B1AD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A46704" w:rsidRPr="006133E8" w:rsidTr="00087504">
        <w:trPr>
          <w:trHeight w:val="456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46704" w:rsidRPr="006133E8" w:rsidTr="00087504">
        <w:trPr>
          <w:trHeight w:val="39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A46704" w:rsidRPr="006133E8" w:rsidTr="00087504">
        <w:trPr>
          <w:trHeight w:val="9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rPr>
          <w:trHeight w:val="312"/>
        </w:trPr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A46704" w:rsidRPr="006133E8" w:rsidRDefault="00A46704" w:rsidP="00A46704">
      <w:pPr>
        <w:spacing w:before="120"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:rsidR="00A46704" w:rsidRPr="009B1ADD" w:rsidRDefault="00A46704" w:rsidP="00A46704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B1A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>18.2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ที่ไม่ยอมรับหรือให้โอกาสผู้ต้องขังในคดียาเสพติดที่พ้นโทษออกมากลับเข้าสู่ชุมชน/หมู่บ้าน  </w:t>
      </w:r>
      <w:r w:rsidRPr="009B1ADD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ความคิดเห็นเกี่ยวกับเหตุผลที่ไม่ยอมรับหรือให้โอกาสฯ  </w:t>
      </w:r>
      <w:r w:rsidRPr="009B1AD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B1AD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A46704" w:rsidRPr="006133E8" w:rsidTr="00087504">
        <w:trPr>
          <w:trHeight w:val="456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46704" w:rsidRPr="006133E8" w:rsidTr="00087504">
        <w:trPr>
          <w:trHeight w:val="39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A46704" w:rsidRPr="006133E8" w:rsidTr="00087504">
        <w:trPr>
          <w:trHeight w:val="9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A46704" w:rsidRPr="006133E8" w:rsidTr="00087504"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ยโสธร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บึงกาฬ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เลย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สกลนคร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นครพนม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after="0" w:line="216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</w:tbl>
    <w:p w:rsidR="00A46704" w:rsidRPr="009B1ADD" w:rsidRDefault="00A46704" w:rsidP="00A46704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B1A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>18.2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ที่ไม่ยอมรับหรือให้โอกาสผู้ต้องขังในคดียาเสพติดที่พ้นโทษออกมากลับเข้าสู่ชุมชน/หมู่บ้าน  </w:t>
      </w:r>
      <w:r w:rsidRPr="009B1ADD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ความคิดเห็นเกี่ยวกับเหตุผลที่ไม่ยอมรับหรือให้โอกาสฯ  </w:t>
      </w:r>
      <w:r w:rsidRPr="009B1AD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B1AD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1795"/>
        <w:gridCol w:w="1796"/>
        <w:gridCol w:w="1796"/>
        <w:gridCol w:w="1796"/>
        <w:gridCol w:w="1796"/>
        <w:gridCol w:w="1796"/>
      </w:tblGrid>
      <w:tr w:rsidR="00A46704" w:rsidRPr="006133E8" w:rsidTr="00087504">
        <w:trPr>
          <w:trHeight w:val="456"/>
        </w:trPr>
        <w:tc>
          <w:tcPr>
            <w:tcW w:w="26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46704" w:rsidRPr="006133E8" w:rsidTr="00087504">
        <w:trPr>
          <w:trHeight w:val="39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A46704" w:rsidRPr="006133E8" w:rsidTr="00087504">
        <w:trPr>
          <w:trHeight w:val="907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A46704" w:rsidRPr="006133E8" w:rsidTr="00087504">
        <w:tc>
          <w:tcPr>
            <w:tcW w:w="2693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3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</w:tbl>
    <w:p w:rsidR="00A46704" w:rsidRPr="006133E8" w:rsidRDefault="00A46704" w:rsidP="00A46704">
      <w:pPr>
        <w:spacing w:before="120" w:after="0" w:line="240" w:lineRule="auto"/>
        <w:rPr>
          <w:rFonts w:ascii="TH SarabunPSK" w:hAnsi="TH SarabunPSK" w:cs="TH SarabunPSK"/>
          <w:b/>
          <w:bCs/>
          <w:sz w:val="26"/>
          <w:szCs w:val="26"/>
        </w:rPr>
      </w:pPr>
    </w:p>
    <w:p w:rsidR="00A46704" w:rsidRPr="009B1ADD" w:rsidRDefault="00A46704" w:rsidP="00A46704">
      <w:pPr>
        <w:spacing w:after="120" w:line="240" w:lineRule="auto"/>
        <w:ind w:left="1191" w:right="368" w:hanging="1191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9B1A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>18.2</w:t>
      </w:r>
      <w:r w:rsidRPr="009B1AD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B1ADD">
        <w:rPr>
          <w:rFonts w:ascii="TH SarabunPSK" w:hAnsi="TH SarabunPSK" w:cs="TH SarabunPSK"/>
          <w:sz w:val="32"/>
          <w:szCs w:val="32"/>
          <w:cs/>
        </w:rPr>
        <w:t>ร้อยละของประชาชน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ที่ไม่ยอมรับหรือให้โอกาสผู้ต้องขังในคดียาเสพติดที่พ้นโทษออกมากลับเข้าสู่ชุมชน/หมู่บ้าน  </w:t>
      </w:r>
      <w:r w:rsidRPr="009B1ADD">
        <w:rPr>
          <w:rFonts w:ascii="TH SarabunPSK" w:hAnsi="TH SarabunPSK" w:cs="TH SarabunPSK"/>
          <w:sz w:val="32"/>
          <w:szCs w:val="32"/>
          <w:cs/>
        </w:rPr>
        <w:t>จำแนกตาม</w:t>
      </w:r>
      <w:r w:rsidRPr="009B1ADD"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ความคิดเห็นเกี่ยวกับเหตุผลที่ไม่ยอมรับหรือให้โอกาสฯ  </w:t>
      </w:r>
      <w:r w:rsidRPr="009B1ADD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9B1ADD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9B1ADD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795"/>
        <w:gridCol w:w="1795"/>
        <w:gridCol w:w="1796"/>
        <w:gridCol w:w="1796"/>
        <w:gridCol w:w="1796"/>
        <w:gridCol w:w="1796"/>
      </w:tblGrid>
      <w:tr w:rsidR="00A46704" w:rsidRPr="006133E8" w:rsidTr="00087504">
        <w:trPr>
          <w:trHeight w:val="456"/>
        </w:trPr>
        <w:tc>
          <w:tcPr>
            <w:tcW w:w="269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A46704" w:rsidRPr="006133E8" w:rsidTr="00087504">
        <w:trPr>
          <w:trHeight w:val="39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704" w:rsidRPr="006133E8" w:rsidRDefault="00A46704" w:rsidP="00087504">
            <w:pPr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ความคิดเห็นเกี่ยวกับเหตุผลที่ไม่ยอมรับ/ไม่ให้โอกาส                                                    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ผู้ต้องขังในคดียา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เสพติดที่พ้นโทษออกมา</w:t>
            </w:r>
            <w:r w:rsidRPr="006133E8">
              <w:rPr>
                <w:rFonts w:ascii="TH SarabunPSK" w:hAnsi="TH SarabunPSK" w:cs="TH SarabunPSK" w:hint="cs"/>
                <w:b/>
                <w:bCs/>
                <w:spacing w:val="-7"/>
                <w:sz w:val="26"/>
                <w:szCs w:val="26"/>
                <w:cs/>
              </w:rPr>
              <w:t>กลับเข้าสู่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ชุมชน/หมู่บ้าน</w:t>
            </w:r>
          </w:p>
        </w:tc>
      </w:tr>
      <w:tr w:rsidR="00A46704" w:rsidRPr="006133E8" w:rsidTr="00087504">
        <w:trPr>
          <w:trHeight w:val="907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04" w:rsidRPr="006133E8" w:rsidRDefault="00A46704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กลับมาอยู่ใน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สภาพแวดล้อมเดิมจะนำไปสู่</w:t>
            </w:r>
            <w:r w:rsidRPr="006133E8">
              <w:rPr>
                <w:rFonts w:ascii="TH SarabunPSK" w:hAnsi="TH SarabunPSK" w:cs="TH SarabunPSK" w:hint="cs"/>
                <w:b/>
                <w:bCs/>
                <w:spacing w:val="-10"/>
                <w:sz w:val="26"/>
                <w:szCs w:val="26"/>
                <w:cs/>
              </w:rPr>
              <w:t>การกระทำผิดซ้ำ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เชื่อว่าไม่สามารถ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กลับตัวกลับใจ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ได้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Pr="006133E8" w:rsidRDefault="00A46704" w:rsidP="00087504">
            <w:pPr>
              <w:spacing w:before="40" w:after="40" w:line="240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เชื่อว่าจะกลับมา     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สร้าง</w:t>
            </w:r>
            <w:r w:rsidRPr="006133E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ความเดือดร้อน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ให้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ชุมชน</w:t>
            </w:r>
          </w:p>
        </w:tc>
      </w:tr>
      <w:tr w:rsidR="00A46704" w:rsidRPr="006133E8" w:rsidTr="00087504">
        <w:tc>
          <w:tcPr>
            <w:tcW w:w="26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795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79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A46704" w:rsidRPr="006133E8" w:rsidTr="00087504">
        <w:tc>
          <w:tcPr>
            <w:tcW w:w="26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6704" w:rsidRPr="006133E8" w:rsidRDefault="00A46704" w:rsidP="00087504">
            <w:pPr>
              <w:spacing w:before="20"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795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46704" w:rsidRPr="006133E8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6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A46704" w:rsidRDefault="00A46704" w:rsidP="00087504">
            <w:pPr>
              <w:spacing w:before="20" w:after="0" w:line="240" w:lineRule="auto"/>
              <w:ind w:right="68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</w:tbl>
    <w:p w:rsidR="00A46704" w:rsidRDefault="00A46704" w:rsidP="00A46704">
      <w:pPr>
        <w:spacing w:before="120"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6133E8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หมายเหตุ   </w:t>
      </w:r>
      <w:r w:rsidRPr="006133E8">
        <w:rPr>
          <w:rFonts w:ascii="TH SarabunPSK" w:hAnsi="TH SarabunPSK" w:cs="TH SarabunPSK"/>
          <w:sz w:val="26"/>
          <w:szCs w:val="26"/>
          <w:cs/>
        </w:rPr>
        <w:t xml:space="preserve">.. </w:t>
      </w:r>
      <w:r w:rsidRPr="006133E8">
        <w:rPr>
          <w:rFonts w:ascii="TH SarabunPSK" w:hAnsi="TH SarabunPSK" w:cs="TH SarabunPSK" w:hint="cs"/>
          <w:sz w:val="26"/>
          <w:szCs w:val="26"/>
          <w:cs/>
        </w:rPr>
        <w:t>มีจำนวนเล็กน้อย</w:t>
      </w:r>
    </w:p>
    <w:p w:rsidR="00A46704" w:rsidRDefault="00A46704" w:rsidP="00A46704">
      <w:pPr>
        <w:spacing w:after="160" w:line="259" w:lineRule="auto"/>
        <w:rPr>
          <w:rFonts w:ascii="TH SarabunPSK" w:hAnsi="TH SarabunPSK" w:cs="TH SarabunPSK" w:hint="cs"/>
          <w:sz w:val="26"/>
          <w:szCs w:val="26"/>
          <w:cs/>
        </w:rPr>
      </w:pPr>
      <w:r>
        <w:rPr>
          <w:rFonts w:ascii="TH SarabunPSK" w:hAnsi="TH SarabunPSK" w:cs="TH SarabunPSK"/>
          <w:sz w:val="26"/>
          <w:szCs w:val="26"/>
          <w:cs/>
        </w:rPr>
        <w:br w:type="page"/>
      </w:r>
    </w:p>
    <w:sectPr w:rsidR="00A46704" w:rsidSect="00A46704">
      <w:pgSz w:w="16838" w:h="11906" w:orient="landscape"/>
      <w:pgMar w:top="1247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46704"/>
    <w:rsid w:val="001634FB"/>
    <w:rsid w:val="00761FAC"/>
    <w:rsid w:val="00A46704"/>
    <w:rsid w:val="00B14DCC"/>
    <w:rsid w:val="00D5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6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46704"/>
  </w:style>
  <w:style w:type="paragraph" w:styleId="a6">
    <w:name w:val="footer"/>
    <w:basedOn w:val="a"/>
    <w:link w:val="a7"/>
    <w:uiPriority w:val="99"/>
    <w:unhideWhenUsed/>
    <w:rsid w:val="00A46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46704"/>
  </w:style>
  <w:style w:type="character" w:styleId="a8">
    <w:name w:val="line number"/>
    <w:basedOn w:val="a0"/>
    <w:uiPriority w:val="99"/>
    <w:semiHidden/>
    <w:unhideWhenUsed/>
    <w:rsid w:val="00A46704"/>
  </w:style>
  <w:style w:type="paragraph" w:styleId="a9">
    <w:name w:val="List Paragraph"/>
    <w:basedOn w:val="a"/>
    <w:qFormat/>
    <w:rsid w:val="00A46704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A46704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A46704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A4670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A4670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2017-11-01T08:23:00Z</dcterms:created>
  <dcterms:modified xsi:type="dcterms:W3CDTF">2017-11-01T08:24:00Z</dcterms:modified>
</cp:coreProperties>
</file>